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9900"/>
      </w:tblGrid>
      <w:tr>
        <w:tc>
          <w:tcPr>
            <w:tcW w:type="dxa" w:w="1100"/>
            <w:vAlign w:val="center"/>
          </w:tcPr>
          <w:p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00"/>
            <w:vAlign w:val="center"/>
          </w:tcPr>
          <w:p>
            <w:r>
              <w:rPr>
                <w:b/>
                <w:bCs/>
                <w:color w:val="0B1220"/>
                <w:spacing w:val="10"/>
                <w:sz w:val="34"/>
                <w:szCs w:val="34"/>
              </w:rPr>
              <w:t xml:space="preserve">WN MACKENJAS LLC</w:t>
            </w:r>
          </w:p>
          <w:p>
            <w:pPr>
              <w:spacing w:before="30"/>
            </w:pPr>
            <w:r>
              <w:rPr>
                <w:b/>
                <w:bCs/>
                <w:color w:val="1F5AA6"/>
                <w:spacing w:val="10"/>
                <w:sz w:val="16"/>
                <w:szCs w:val="16"/>
              </w:rPr>
              <w:t xml:space="preserve">DETECTION ENGINEERING &amp; SECURITY OPERATIONS  ·  CAPABILITY STATEMENT</w:t>
            </w:r>
          </w:p>
        </w:tc>
      </w:tr>
    </w:tbl>
    <w:p>
      <w:pPr>
        <w:pBdr>
          <w:bottom w:val="single" w:color="0B1220" w:sz="12" w:space="4"/>
        </w:pBdr>
        <w:spacing w:before="160"/>
      </w:pPr>
    </w:p>
    <w:tbl>
      <w:tblPr>
        <w:tblW w:type="dxa" w:w="11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800"/>
        <w:gridCol w:w="4200"/>
      </w:tblGrid>
      <w:tr>
        <w:tc>
          <w:tcPr>
            <w:tcW w:type="dxa" w:w="6800"/>
            <w:tcMar>
              <w:right w:type="dxa" w:w="260"/>
            </w:tcMar>
          </w:tcPr>
          <w:p>
            <w:pPr>
              <w:pBdr>
                <w:bottom w:val="single" w:color="1F5AA6" w:sz="6" w:space="3"/>
              </w:pBdr>
              <w:spacing w:after="80" w:before="220"/>
            </w:pPr>
            <w:r>
              <w:rPr>
                <w:b/>
                <w:bCs/>
                <w:color w:val="1F5AA6"/>
                <w:spacing w:val="20"/>
                <w:sz w:val="19"/>
                <w:szCs w:val="19"/>
              </w:rPr>
              <w:t xml:space="preserve">CORE COMPETENCIES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EDR optimization — Tanium EDR &amp; CrowdStrike signal tuning, process behavior detection, administrative-tool tuning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SIEM engineering — search optimization, detection signatures, correlation logic, anomalous authentication &amp; credential-misuse correlation, alert tuning, incident-response acceleration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YARA engineering — custom rule development for evolving malicious artifacts and threat variants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Security policy engineering — AV/endpoint policy optimization for fidelity with reduced operational noise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Logging &amp; visibility — telemetry validation, pipeline troubleshooting, log-source optimization, coverage analysis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Executive &amp; oversight dashboards — technical detection data translated into operational and leadership-level reporting</w:t>
            </w:r>
          </w:p>
          <w:p>
            <w:pPr>
              <w:pBdr>
                <w:bottom w:val="single" w:color="1F5AA6" w:sz="6" w:space="3"/>
              </w:pBdr>
              <w:spacing w:after="80" w:before="220"/>
            </w:pPr>
            <w:r>
              <w:rPr>
                <w:b/>
                <w:bCs/>
                <w:color w:val="1F5AA6"/>
                <w:spacing w:val="20"/>
                <w:sz w:val="19"/>
                <w:szCs w:val="19"/>
              </w:rPr>
              <w:t xml:space="preserve">DIFFERENTIATORS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Engineering, not reselling — we tune the platforms an agency already owns rather than layering on new tooling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Documented six-stage methodology — Discover, Identify, Engineer, Validate, Measure, Evolve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Reporting built around the NIST Cybersecurity Framework 2.0 (Identify, Protect, Detect, Respond — mapped to functions our engineering work directly supports)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222222"/>
                <w:sz w:val="19"/>
                <w:szCs w:val="19"/>
              </w:rPr>
              <w:t xml:space="preserve">Dashboards and reporting interfaces designed with WCAG 2.0 AA accessibility in mind</w:t>
            </w:r>
          </w:p>
          <w:p>
            <w:pPr>
              <w:pBdr>
                <w:bottom w:val="single" w:color="1F5AA6" w:sz="6" w:space="3"/>
              </w:pBdr>
              <w:spacing w:after="80" w:before="220"/>
            </w:pPr>
            <w:r>
              <w:rPr>
                <w:b/>
                <w:bCs/>
                <w:color w:val="1F5AA6"/>
                <w:spacing w:val="20"/>
                <w:sz w:val="19"/>
                <w:szCs w:val="19"/>
              </w:rPr>
              <w:t xml:space="preserve">PAST PERFORMANCE</w:t>
            </w:r>
          </w:p>
          <w:p>
            <w:pPr>
              <w:spacing w:after="60"/>
            </w:pPr>
            <w:r>
              <w:rPr>
                <w:i w:val="0"/>
                <w:iCs/>
                <w:color w:val="222222"/>
                <w:sz w:val="19"/>
                <w:szCs w:val="18"/>
              </w:rPr>
              <w:t>Ongoing detection engineering support for a federal agency’s security program, delivered as a subcontractor via Gray Tier Technologies / TDI since November 2022 — improving alert fidelity, closing telemetry gaps, and strengthening threat visibility. Agency reference and full engagement detail available on request, subject to agency authorization.</w:t>
            </w:r>
          </w:p>
          <w:p>
            <w:pPr>
              <w:pBdr>
                <w:bottom w:val="single" w:color="1F5AA6" w:sz="6" w:space="3"/>
              </w:pBdr>
              <w:spacing w:after="80" w:before="220"/>
            </w:pPr>
            <w:r>
              <w:rPr>
                <w:b/>
                <w:bCs/>
                <w:color w:val="1F5AA6"/>
                <w:spacing w:val="20"/>
                <w:sz w:val="19"/>
                <w:szCs w:val="19"/>
              </w:rPr>
              <w:t xml:space="preserve">CERTIFICATIONS</w:t>
            </w:r>
          </w:p>
          <w:p>
            <w:pPr>
              <w:spacing w:after="60"/>
            </w:pPr>
            <w:r>
              <w:rPr>
                <w:color w:val="222222"/>
                <w:sz w:val="18"/>
                <w:szCs w:val="18"/>
              </w:rPr>
              <w:t xml:space="preserve">CompTIA SecurityX, CompTIA Security+</w:t>
            </w:r>
          </w:p>
        </w:tc>
        <w:tc>
          <w:tcPr>
            <w:tcW w:type="dxa" w:w="4200"/>
            <w:shd w:fill="F2F5F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0B1220"/>
                <w:spacing w:val="15"/>
                <w:sz w:val="17"/>
                <w:szCs w:val="17"/>
              </w:rPr>
              <w:t xml:space="preserve">CORPORATE DATA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>SMALL BUSINESS / SOCIO-ECONOMIC STATUS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>Self-certified Small Business — Minority-Owned Business, Black American-Owned — per active SAM.gov registration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NAICS CODES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>541512 (primary), 541511, 541513, 541519, 541611, 541618, 541690, 541990, 561320, 561621, 611420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DC BASIC BUSINESS LICENSE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 xml:space="preserve">On file — #400320000137 — </w:t>
            </w:r>
            <w:r>
              <w:rPr>
                <w:i/>
                <w:iCs/>
                <w:color w:val="B45309"/>
                <w:sz w:val="15"/>
                <w:szCs w:val="15"/>
              </w:rPr>
              <w:t xml:space="preserve">renewal in progress, confirm current status before submission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SAM.GOV / UEI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>Active Registration — UEI Y12RUVV37ZJ5 · CAGE Code 93CQ0 · Registered through Aug 20, 2027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DC CBE CERTIFICATION (DSLBD)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 xml:space="preserve">Application in progress — </w:t>
            </w:r>
            <w:r>
              <w:rPr>
                <w:i/>
                <w:iCs/>
                <w:color w:val="B45309"/>
                <w:sz w:val="15"/>
                <w:szCs w:val="15"/>
              </w:rPr>
              <w:t xml:space="preserve">pending Certificate of Clean Hands renewal below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CLEAN HANDS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 xml:space="preserve">Renewal in progress — </w:t>
            </w:r>
            <w:r>
              <w:rPr>
                <w:i/>
                <w:iCs/>
                <w:color w:val="B45309"/>
                <w:sz w:val="15"/>
                <w:szCs w:val="15"/>
              </w:rPr>
              <w:t xml:space="preserve">confirm current via MyTax.DC.gov before each submission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POINT OF CONTACT</w:t>
            </w:r>
          </w:p>
          <w:p>
            <w:pPr>
              <w:spacing w:after="4"/>
            </w:pPr>
            <w:r>
              <w:rPr>
                <w:color w:val="222222"/>
                <w:sz w:val="18"/>
                <w:szCs w:val="18"/>
              </w:rPr>
              <w:t xml:space="preserve">Managing Member</w:t>
            </w:r>
          </w:p>
          <w:p>
            <w:pPr>
              <w:spacing w:after="4"/>
            </w:pPr>
            <w:r>
              <w:rPr>
                <w:color w:val="1F5AA6"/>
                <w:sz w:val="18"/>
                <w:szCs w:val="18"/>
              </w:rPr>
              <w:t xml:space="preserve">contact@wnmackenjas.com</w:t>
            </w:r>
          </w:p>
          <w:p>
            <w:pPr>
              <w:spacing w:after="110"/>
            </w:pPr>
            <w:r>
              <w:rPr>
                <w:color w:val="222222"/>
                <w:sz w:val="18"/>
                <w:szCs w:val="18"/>
              </w:rPr>
              <w:t xml:space="preserve">202.350.1092</w:t>
            </w:r>
          </w:p>
          <w:p>
            <w:pPr>
              <w:spacing w:after="30"/>
            </w:pPr>
            <w:r>
              <w:rPr>
                <w:b/>
                <w:bCs/>
                <w:color w:val="5A6472"/>
                <w:spacing w:val="10"/>
                <w:sz w:val="14"/>
                <w:szCs w:val="14"/>
              </w:rPr>
              <w:t xml:space="preserve">WEBSITE</w:t>
            </w:r>
          </w:p>
          <w:p>
            <w:pPr>
              <w:spacing w:after="0"/>
            </w:pPr>
            <w:r>
              <w:rPr>
                <w:color w:val="1F5AA6"/>
                <w:sz w:val="18"/>
                <w:szCs w:val="18"/>
              </w:rPr>
              <w:t xml:space="preserve">wnmackenjas.com</w:t>
            </w:r>
          </w:p>
        </w:tc>
      </w:tr>
    </w:tbl>
    <w:p>
      <w:pPr>
        <w:pBdr>
          <w:top w:val="single" w:color="CCCCCC" w:sz="6" w:space="6"/>
        </w:pBdr>
        <w:spacing w:before="260"/>
      </w:pPr>
      <w:r>
        <w:rPr>
          <w:i/>
          <w:iCs/>
          <w:color w:val="5A6472"/>
          <w:sz w:val="15"/>
          <w:szCs w:val="15"/>
        </w:rPr>
        <w:t xml:space="preserve">Engineering the Signal. Detecting What Matters.</w:t>
      </w:r>
    </w:p>
    <w:sectPr>
      <w:pgSz w:w="12240" w:h="15840" w:orient="portrait"/>
      <w:pgMar w:top="62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63f588c0f4c86cf6c73020f6b2063b63bbd824b.png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2026-08-19T14:25:32.417Z</dcterms:created>
  <dcterms:modified xsi:type="dcterms:W3CDTF">2026-08-19T14:25:32.430Z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